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3E6F" w14:textId="77777777" w:rsidR="00B04DF8" w:rsidRDefault="00B04DF8"/>
    <w:p w14:paraId="6FC5126C" w14:textId="77777777" w:rsidR="00912726" w:rsidRPr="00912726" w:rsidRDefault="00912726" w:rsidP="00912726">
      <w:pPr>
        <w:jc w:val="center"/>
        <w:rPr>
          <w:b/>
          <w:sz w:val="22"/>
          <w:szCs w:val="22"/>
        </w:rPr>
      </w:pPr>
      <w:r w:rsidRPr="00912726">
        <w:rPr>
          <w:b/>
          <w:sz w:val="22"/>
          <w:szCs w:val="22"/>
        </w:rPr>
        <w:t>OSMANİYE İL ÖZEL İDARESİ TAŞINMAZ MAL SATIŞ İHALE İLANI</w:t>
      </w:r>
    </w:p>
    <w:p w14:paraId="76609ADD" w14:textId="77777777" w:rsidR="00912726" w:rsidRPr="00912726" w:rsidRDefault="00912726" w:rsidP="00912726">
      <w:pPr>
        <w:rPr>
          <w:sz w:val="22"/>
          <w:szCs w:val="22"/>
        </w:rPr>
      </w:pPr>
    </w:p>
    <w:p w14:paraId="73220432" w14:textId="77777777" w:rsidR="00912726" w:rsidRPr="00912726" w:rsidRDefault="00912726" w:rsidP="00912726">
      <w:pPr>
        <w:pStyle w:val="ListeParagraf"/>
        <w:numPr>
          <w:ilvl w:val="0"/>
          <w:numId w:val="3"/>
        </w:numPr>
        <w:spacing w:line="360" w:lineRule="auto"/>
        <w:ind w:left="714" w:hanging="357"/>
        <w:jc w:val="both"/>
        <w:rPr>
          <w:sz w:val="22"/>
          <w:szCs w:val="22"/>
        </w:rPr>
      </w:pPr>
      <w:r w:rsidRPr="00912726">
        <w:rPr>
          <w:sz w:val="22"/>
          <w:szCs w:val="22"/>
        </w:rPr>
        <w:t xml:space="preserve">İhale yer ve saati: Aşağıda özellikleri ve ihale bilgileri belirtilen taşınmaz 2886 sayılı Devlet İhale Kanununun 35/a maddesine göre Kapalı Teklif </w:t>
      </w:r>
      <w:r>
        <w:rPr>
          <w:sz w:val="22"/>
          <w:szCs w:val="22"/>
        </w:rPr>
        <w:t>U</w:t>
      </w:r>
      <w:r w:rsidRPr="00912726">
        <w:rPr>
          <w:sz w:val="22"/>
          <w:szCs w:val="22"/>
        </w:rPr>
        <w:t>sulü artırma suretiyle satış ihalesi 31.08.2022 tarihinde Çarşamba günü saat: 15.00’da Osmaniye İli Merkez Adnan Menderes Mah. Adnan Menderes Cad. No:</w:t>
      </w:r>
      <w:proofErr w:type="gramStart"/>
      <w:r w:rsidRPr="00912726">
        <w:rPr>
          <w:sz w:val="22"/>
          <w:szCs w:val="22"/>
        </w:rPr>
        <w:t>12,Adresinde</w:t>
      </w:r>
      <w:proofErr w:type="gramEnd"/>
      <w:r w:rsidRPr="00912726">
        <w:rPr>
          <w:sz w:val="22"/>
          <w:szCs w:val="22"/>
        </w:rPr>
        <w:t xml:space="preserve"> bulunan Osmaniye İl Özel İdaresi hizmet binası 1.Katta, İl Encümeni toplantı salonunda yapılacaktır.</w:t>
      </w:r>
    </w:p>
    <w:p w14:paraId="7B07F25D" w14:textId="77777777" w:rsidR="00912726" w:rsidRPr="00912726" w:rsidRDefault="00912726" w:rsidP="00912726">
      <w:pPr>
        <w:pStyle w:val="ListeParagraf"/>
        <w:numPr>
          <w:ilvl w:val="0"/>
          <w:numId w:val="3"/>
        </w:numPr>
        <w:spacing w:line="360" w:lineRule="auto"/>
        <w:ind w:left="714" w:hanging="357"/>
        <w:jc w:val="both"/>
        <w:rPr>
          <w:sz w:val="22"/>
          <w:szCs w:val="22"/>
        </w:rPr>
      </w:pPr>
      <w:r w:rsidRPr="00912726">
        <w:rPr>
          <w:sz w:val="22"/>
          <w:szCs w:val="22"/>
        </w:rPr>
        <w:t xml:space="preserve">İhaleye İştirak Etmek İsteyenler: Geçici Teminat Makbuzu veya 2886 sayılı Kanunun 27. Maddesinde belirtilen şartları taşıyan süresiz Banka Geçici Teminat Mektubu, İkametgâh </w:t>
      </w:r>
      <w:proofErr w:type="gramStart"/>
      <w:r w:rsidRPr="00912726">
        <w:rPr>
          <w:sz w:val="22"/>
          <w:szCs w:val="22"/>
        </w:rPr>
        <w:t>Belgesi,  Nüfus</w:t>
      </w:r>
      <w:proofErr w:type="gramEnd"/>
      <w:r w:rsidRPr="00912726">
        <w:rPr>
          <w:sz w:val="22"/>
          <w:szCs w:val="22"/>
        </w:rPr>
        <w:t xml:space="preserve"> Cüzdanı Örneği (T.C. Numaralı), Vekâleten ihaleye girecek kişilerden Noter tasdikli vekâletname, Tüzel kişilerden siciline kayıtlı bulunduğu Ticaret veya Sanayi Odasından yahut benzer meslek kuruluşlarından 2022 yılı içerisinde alınmış Sicil Kayıt Belgesi, Vergi Kimlik Numarası. Ortak Girişim olması halinde, noter tasdikli Ortak Girişim Beyannamesi ile Ortaklarca imzalanan Ortaklık Sözleşmesi, tüzel kişilik adına ihaleye katılacak kişilerin tüzel kişiliği temsile tam yetkili olduğunu gösterir Noterlikçe tasdik edilmiş imza sirküleri veya vekâlet </w:t>
      </w:r>
      <w:proofErr w:type="gramStart"/>
      <w:r w:rsidRPr="00912726">
        <w:rPr>
          <w:sz w:val="22"/>
          <w:szCs w:val="22"/>
        </w:rPr>
        <w:t>nameleri,  ihale</w:t>
      </w:r>
      <w:proofErr w:type="gramEnd"/>
      <w:r w:rsidRPr="00912726">
        <w:rPr>
          <w:sz w:val="22"/>
          <w:szCs w:val="22"/>
        </w:rPr>
        <w:t xml:space="preserve"> saatinden önce ihale komisyonuna teslim ederek ihale saatinde Osmaniye İl Özel İdaresi İl Encümeni toplantı salonunda hazır bulunmaları gerekmektedir.</w:t>
      </w:r>
    </w:p>
    <w:p w14:paraId="7AE9D1E4" w14:textId="77777777" w:rsidR="00912726" w:rsidRPr="00912726" w:rsidRDefault="00912726" w:rsidP="00912726">
      <w:pPr>
        <w:pStyle w:val="ListeParagraf"/>
        <w:numPr>
          <w:ilvl w:val="0"/>
          <w:numId w:val="3"/>
        </w:numPr>
        <w:spacing w:line="360" w:lineRule="auto"/>
        <w:ind w:left="714" w:hanging="357"/>
        <w:jc w:val="both"/>
        <w:rPr>
          <w:sz w:val="22"/>
          <w:szCs w:val="22"/>
        </w:rPr>
      </w:pPr>
      <w:r w:rsidRPr="00912726">
        <w:rPr>
          <w:sz w:val="22"/>
          <w:szCs w:val="22"/>
        </w:rPr>
        <w:t>Satışı yapılan taşınmazın ihale bedelinin en az %40 peşin geri kalanına sözleşme tarihinden itibaren faiz uygulanmak üzere 15 ay içerisinde 3 taksiti geçmemek üzere taksitlendirile bilecektir.</w:t>
      </w:r>
    </w:p>
    <w:p w14:paraId="77261E9F" w14:textId="77777777" w:rsidR="00912726" w:rsidRPr="00912726" w:rsidRDefault="00912726" w:rsidP="00912726">
      <w:pPr>
        <w:pStyle w:val="ListeParagraf"/>
        <w:numPr>
          <w:ilvl w:val="0"/>
          <w:numId w:val="3"/>
        </w:numPr>
        <w:spacing w:line="360" w:lineRule="auto"/>
        <w:ind w:left="714" w:hanging="357"/>
        <w:jc w:val="both"/>
        <w:rPr>
          <w:sz w:val="22"/>
          <w:szCs w:val="22"/>
        </w:rPr>
      </w:pPr>
      <w:r w:rsidRPr="00912726">
        <w:rPr>
          <w:sz w:val="22"/>
          <w:szCs w:val="22"/>
        </w:rPr>
        <w:t>İsteklilerin ihale saatine kadar ihale komisyonuna ulaşmış olması kaydıyla yukarıda belirtilen belgelerle birlikte 2886 sayılı kanunu 37. Maddesine göre hazırlayacakları teklif mektupları posta ile iadeli ve taahhütlü olarak göndere bilirler. Postadan doğan gecikmeler kabul edilmez.</w:t>
      </w:r>
    </w:p>
    <w:p w14:paraId="0C71B147" w14:textId="77777777" w:rsidR="00912726" w:rsidRPr="00912726" w:rsidRDefault="00912726" w:rsidP="00912726">
      <w:pPr>
        <w:pStyle w:val="ListeParagraf"/>
        <w:numPr>
          <w:ilvl w:val="0"/>
          <w:numId w:val="3"/>
        </w:numPr>
        <w:spacing w:line="360" w:lineRule="auto"/>
        <w:ind w:left="714" w:hanging="357"/>
        <w:jc w:val="both"/>
        <w:rPr>
          <w:sz w:val="22"/>
          <w:szCs w:val="22"/>
        </w:rPr>
      </w:pPr>
      <w:r w:rsidRPr="00912726">
        <w:rPr>
          <w:sz w:val="22"/>
          <w:szCs w:val="22"/>
        </w:rPr>
        <w:t>Taşınmazın satışına ilişkin İhale Şartname bedeli 1.000,00 TL. Olup mesai saatleri içerisinde Osmaniye İl Özel İdaresi Emlak İstimlak Müdürlüğünden alına bilir, bedelsiz olarak görülebilir,</w:t>
      </w:r>
    </w:p>
    <w:p w14:paraId="00AA997C" w14:textId="77777777" w:rsidR="00912726" w:rsidRPr="00912726" w:rsidRDefault="00912726" w:rsidP="00912726">
      <w:pPr>
        <w:pStyle w:val="ListeParagraf"/>
        <w:numPr>
          <w:ilvl w:val="0"/>
          <w:numId w:val="3"/>
        </w:numPr>
        <w:spacing w:line="360" w:lineRule="auto"/>
        <w:ind w:left="714" w:hanging="357"/>
        <w:jc w:val="both"/>
        <w:rPr>
          <w:sz w:val="22"/>
          <w:szCs w:val="22"/>
        </w:rPr>
      </w:pPr>
      <w:r w:rsidRPr="00912726">
        <w:rPr>
          <w:sz w:val="22"/>
          <w:szCs w:val="22"/>
        </w:rPr>
        <w:t>İhale Şartname ve dokümanının alındığına dair banka dekontu,</w:t>
      </w:r>
    </w:p>
    <w:p w14:paraId="2BCECF5D" w14:textId="77777777" w:rsidR="00912726" w:rsidRPr="00912726" w:rsidRDefault="00912726" w:rsidP="00912726">
      <w:pPr>
        <w:pStyle w:val="ListeParagraf"/>
        <w:numPr>
          <w:ilvl w:val="0"/>
          <w:numId w:val="3"/>
        </w:numPr>
        <w:spacing w:line="360" w:lineRule="auto"/>
        <w:ind w:left="714" w:hanging="357"/>
        <w:jc w:val="both"/>
        <w:rPr>
          <w:sz w:val="22"/>
          <w:szCs w:val="22"/>
        </w:rPr>
      </w:pPr>
      <w:r w:rsidRPr="00912726">
        <w:rPr>
          <w:sz w:val="22"/>
          <w:szCs w:val="22"/>
        </w:rPr>
        <w:t>İdare, ihaleyi yapıp yapmamakta serbesttir.</w:t>
      </w:r>
    </w:p>
    <w:p w14:paraId="37F5E7CC" w14:textId="77777777" w:rsidR="00912726" w:rsidRPr="00912726" w:rsidRDefault="00912726" w:rsidP="00912726">
      <w:pPr>
        <w:rPr>
          <w:sz w:val="22"/>
          <w:szCs w:val="22"/>
        </w:rPr>
      </w:pPr>
      <w:r w:rsidRPr="00912726">
        <w:rPr>
          <w:sz w:val="22"/>
          <w:szCs w:val="22"/>
        </w:rPr>
        <w:tab/>
      </w:r>
    </w:p>
    <w:tbl>
      <w:tblPr>
        <w:tblW w:w="154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126"/>
        <w:gridCol w:w="1134"/>
        <w:gridCol w:w="1588"/>
        <w:gridCol w:w="964"/>
        <w:gridCol w:w="1275"/>
        <w:gridCol w:w="1276"/>
        <w:gridCol w:w="1701"/>
        <w:gridCol w:w="1559"/>
        <w:gridCol w:w="1276"/>
        <w:gridCol w:w="1134"/>
      </w:tblGrid>
      <w:tr w:rsidR="00912726" w:rsidRPr="00912726" w14:paraId="783C4E79" w14:textId="77777777" w:rsidTr="009743E1">
        <w:trPr>
          <w:trHeight w:val="320"/>
        </w:trPr>
        <w:tc>
          <w:tcPr>
            <w:tcW w:w="1389" w:type="dxa"/>
            <w:vMerge w:val="restart"/>
            <w:shd w:val="clear" w:color="auto" w:fill="auto"/>
          </w:tcPr>
          <w:p w14:paraId="6FCA4740" w14:textId="77777777" w:rsidR="00912726" w:rsidRPr="00912726" w:rsidRDefault="00912726" w:rsidP="00536219">
            <w:pPr>
              <w:jc w:val="center"/>
              <w:rPr>
                <w:rFonts w:eastAsia="Calibri"/>
                <w:b/>
                <w:sz w:val="20"/>
                <w:szCs w:val="20"/>
                <w:lang w:eastAsia="en-US"/>
              </w:rPr>
            </w:pPr>
          </w:p>
          <w:p w14:paraId="3E1C4502"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TAŞINMAZ NO.</w:t>
            </w:r>
          </w:p>
        </w:tc>
        <w:tc>
          <w:tcPr>
            <w:tcW w:w="2126" w:type="dxa"/>
            <w:shd w:val="clear" w:color="auto" w:fill="auto"/>
          </w:tcPr>
          <w:p w14:paraId="5D9020C9"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İLİ</w:t>
            </w:r>
          </w:p>
        </w:tc>
        <w:tc>
          <w:tcPr>
            <w:tcW w:w="1134" w:type="dxa"/>
            <w:shd w:val="clear" w:color="auto" w:fill="auto"/>
          </w:tcPr>
          <w:p w14:paraId="7D46AEA9"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 xml:space="preserve">ADA </w:t>
            </w:r>
          </w:p>
        </w:tc>
        <w:tc>
          <w:tcPr>
            <w:tcW w:w="1588" w:type="dxa"/>
            <w:vMerge w:val="restart"/>
            <w:shd w:val="clear" w:color="auto" w:fill="auto"/>
          </w:tcPr>
          <w:p w14:paraId="1BA77BF6" w14:textId="77777777" w:rsidR="00912726" w:rsidRPr="00912726" w:rsidRDefault="00912726" w:rsidP="00536219">
            <w:pPr>
              <w:jc w:val="center"/>
              <w:rPr>
                <w:rFonts w:eastAsia="Calibri"/>
                <w:b/>
                <w:sz w:val="20"/>
                <w:szCs w:val="20"/>
                <w:lang w:eastAsia="en-US"/>
              </w:rPr>
            </w:pPr>
          </w:p>
          <w:p w14:paraId="034B5BDF"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YÜZÖLÇÜMÜ</w:t>
            </w:r>
          </w:p>
          <w:p w14:paraId="7D1022C5" w14:textId="77777777" w:rsidR="00912726" w:rsidRPr="00912726" w:rsidRDefault="00912726" w:rsidP="00536219">
            <w:pPr>
              <w:jc w:val="center"/>
              <w:rPr>
                <w:rFonts w:eastAsia="Calibri"/>
                <w:b/>
                <w:sz w:val="20"/>
                <w:szCs w:val="20"/>
                <w:lang w:eastAsia="en-US"/>
              </w:rPr>
            </w:pPr>
            <w:proofErr w:type="gramStart"/>
            <w:r w:rsidRPr="00912726">
              <w:rPr>
                <w:b/>
                <w:sz w:val="20"/>
                <w:szCs w:val="20"/>
              </w:rPr>
              <w:t>m</w:t>
            </w:r>
            <w:proofErr w:type="gramEnd"/>
            <w:r w:rsidRPr="00912726">
              <w:rPr>
                <w:b/>
                <w:sz w:val="20"/>
                <w:szCs w:val="20"/>
              </w:rPr>
              <w:t>²</w:t>
            </w:r>
          </w:p>
        </w:tc>
        <w:tc>
          <w:tcPr>
            <w:tcW w:w="964" w:type="dxa"/>
            <w:vMerge w:val="restart"/>
          </w:tcPr>
          <w:p w14:paraId="6F12D893" w14:textId="77777777" w:rsidR="00912726" w:rsidRPr="00912726" w:rsidRDefault="00912726" w:rsidP="00536219">
            <w:pPr>
              <w:jc w:val="center"/>
              <w:rPr>
                <w:rFonts w:eastAsia="Calibri"/>
                <w:b/>
                <w:sz w:val="20"/>
                <w:szCs w:val="20"/>
                <w:lang w:eastAsia="en-US"/>
              </w:rPr>
            </w:pPr>
          </w:p>
          <w:p w14:paraId="410B7DA8"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HİSSE ORANI</w:t>
            </w:r>
          </w:p>
        </w:tc>
        <w:tc>
          <w:tcPr>
            <w:tcW w:w="1275" w:type="dxa"/>
            <w:vMerge w:val="restart"/>
          </w:tcPr>
          <w:p w14:paraId="70E0726A" w14:textId="77777777" w:rsidR="00912726" w:rsidRPr="00912726" w:rsidRDefault="00912726" w:rsidP="00536219">
            <w:pPr>
              <w:jc w:val="center"/>
              <w:rPr>
                <w:rFonts w:eastAsia="Calibri"/>
                <w:b/>
                <w:sz w:val="20"/>
                <w:szCs w:val="20"/>
                <w:lang w:eastAsia="en-US"/>
              </w:rPr>
            </w:pPr>
          </w:p>
          <w:p w14:paraId="6D924B49"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NİTELİK</w:t>
            </w:r>
          </w:p>
        </w:tc>
        <w:tc>
          <w:tcPr>
            <w:tcW w:w="1276" w:type="dxa"/>
            <w:vMerge w:val="restart"/>
          </w:tcPr>
          <w:p w14:paraId="205F1640" w14:textId="77777777" w:rsidR="00912726" w:rsidRPr="00912726" w:rsidRDefault="00912726" w:rsidP="00536219">
            <w:pPr>
              <w:jc w:val="center"/>
              <w:rPr>
                <w:rFonts w:eastAsia="Calibri"/>
                <w:b/>
                <w:sz w:val="20"/>
                <w:szCs w:val="20"/>
                <w:lang w:eastAsia="en-US"/>
              </w:rPr>
            </w:pPr>
          </w:p>
          <w:p w14:paraId="7AE549EC"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İMAR DURUMU</w:t>
            </w:r>
          </w:p>
        </w:tc>
        <w:tc>
          <w:tcPr>
            <w:tcW w:w="1701" w:type="dxa"/>
            <w:vMerge w:val="restart"/>
          </w:tcPr>
          <w:p w14:paraId="4951D72C" w14:textId="77777777" w:rsidR="00912726" w:rsidRPr="00912726" w:rsidRDefault="00912726" w:rsidP="00536219">
            <w:pPr>
              <w:jc w:val="center"/>
              <w:rPr>
                <w:rFonts w:eastAsia="Calibri"/>
                <w:b/>
                <w:sz w:val="20"/>
                <w:szCs w:val="20"/>
                <w:lang w:eastAsia="en-US"/>
              </w:rPr>
            </w:pPr>
          </w:p>
          <w:p w14:paraId="63B89750"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TAHMİNİ BEDEL</w:t>
            </w:r>
          </w:p>
          <w:p w14:paraId="3B91BA38"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 xml:space="preserve"> (TL)</w:t>
            </w:r>
          </w:p>
        </w:tc>
        <w:tc>
          <w:tcPr>
            <w:tcW w:w="1559" w:type="dxa"/>
            <w:vMerge w:val="restart"/>
          </w:tcPr>
          <w:p w14:paraId="60A1CE3C" w14:textId="77777777" w:rsidR="00912726" w:rsidRPr="00912726" w:rsidRDefault="00912726" w:rsidP="00536219">
            <w:pPr>
              <w:jc w:val="center"/>
              <w:rPr>
                <w:rFonts w:eastAsia="Calibri"/>
                <w:b/>
                <w:sz w:val="20"/>
                <w:szCs w:val="20"/>
                <w:lang w:eastAsia="en-US"/>
              </w:rPr>
            </w:pPr>
          </w:p>
          <w:p w14:paraId="3A71B01C"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GEÇİCİ TEMİNAK</w:t>
            </w:r>
          </w:p>
          <w:p w14:paraId="367DF39F"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 xml:space="preserve"> (TL)</w:t>
            </w:r>
          </w:p>
        </w:tc>
        <w:tc>
          <w:tcPr>
            <w:tcW w:w="2410" w:type="dxa"/>
            <w:gridSpan w:val="2"/>
          </w:tcPr>
          <w:p w14:paraId="18F7DF40"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İHALE</w:t>
            </w:r>
          </w:p>
        </w:tc>
      </w:tr>
      <w:tr w:rsidR="00912726" w:rsidRPr="00912726" w14:paraId="532B70DF" w14:textId="77777777" w:rsidTr="009743E1">
        <w:trPr>
          <w:trHeight w:val="320"/>
        </w:trPr>
        <w:tc>
          <w:tcPr>
            <w:tcW w:w="1389" w:type="dxa"/>
            <w:vMerge/>
            <w:shd w:val="clear" w:color="auto" w:fill="auto"/>
          </w:tcPr>
          <w:p w14:paraId="3C9B68F3" w14:textId="77777777" w:rsidR="00912726" w:rsidRPr="00912726" w:rsidRDefault="00912726" w:rsidP="00536219">
            <w:pPr>
              <w:jc w:val="center"/>
              <w:rPr>
                <w:rFonts w:eastAsia="Calibri"/>
                <w:b/>
                <w:sz w:val="20"/>
                <w:szCs w:val="20"/>
                <w:lang w:eastAsia="en-US"/>
              </w:rPr>
            </w:pPr>
          </w:p>
        </w:tc>
        <w:tc>
          <w:tcPr>
            <w:tcW w:w="2126" w:type="dxa"/>
            <w:shd w:val="clear" w:color="auto" w:fill="auto"/>
          </w:tcPr>
          <w:p w14:paraId="311608D2"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İLÇESİ</w:t>
            </w:r>
          </w:p>
        </w:tc>
        <w:tc>
          <w:tcPr>
            <w:tcW w:w="1134" w:type="dxa"/>
            <w:vMerge w:val="restart"/>
            <w:shd w:val="clear" w:color="auto" w:fill="auto"/>
          </w:tcPr>
          <w:p w14:paraId="355D3243"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PARSEL</w:t>
            </w:r>
          </w:p>
        </w:tc>
        <w:tc>
          <w:tcPr>
            <w:tcW w:w="1588" w:type="dxa"/>
            <w:vMerge/>
            <w:shd w:val="clear" w:color="auto" w:fill="auto"/>
          </w:tcPr>
          <w:p w14:paraId="535E033D" w14:textId="77777777" w:rsidR="00912726" w:rsidRPr="00912726" w:rsidRDefault="00912726" w:rsidP="00536219">
            <w:pPr>
              <w:jc w:val="center"/>
              <w:rPr>
                <w:rFonts w:eastAsia="Calibri"/>
                <w:b/>
                <w:sz w:val="20"/>
                <w:szCs w:val="20"/>
                <w:lang w:eastAsia="en-US"/>
              </w:rPr>
            </w:pPr>
          </w:p>
        </w:tc>
        <w:tc>
          <w:tcPr>
            <w:tcW w:w="964" w:type="dxa"/>
            <w:vMerge/>
          </w:tcPr>
          <w:p w14:paraId="58AF1F43" w14:textId="77777777" w:rsidR="00912726" w:rsidRPr="00912726" w:rsidRDefault="00912726" w:rsidP="00536219">
            <w:pPr>
              <w:jc w:val="center"/>
              <w:rPr>
                <w:rFonts w:eastAsia="Calibri"/>
                <w:b/>
                <w:sz w:val="20"/>
                <w:szCs w:val="20"/>
                <w:lang w:eastAsia="en-US"/>
              </w:rPr>
            </w:pPr>
          </w:p>
        </w:tc>
        <w:tc>
          <w:tcPr>
            <w:tcW w:w="1275" w:type="dxa"/>
            <w:vMerge/>
          </w:tcPr>
          <w:p w14:paraId="514F40F4" w14:textId="77777777" w:rsidR="00912726" w:rsidRPr="00912726" w:rsidRDefault="00912726" w:rsidP="00536219">
            <w:pPr>
              <w:jc w:val="center"/>
              <w:rPr>
                <w:rFonts w:eastAsia="Calibri"/>
                <w:b/>
                <w:sz w:val="20"/>
                <w:szCs w:val="20"/>
                <w:lang w:eastAsia="en-US"/>
              </w:rPr>
            </w:pPr>
          </w:p>
        </w:tc>
        <w:tc>
          <w:tcPr>
            <w:tcW w:w="1276" w:type="dxa"/>
            <w:vMerge/>
          </w:tcPr>
          <w:p w14:paraId="687BB4E4" w14:textId="77777777" w:rsidR="00912726" w:rsidRPr="00912726" w:rsidRDefault="00912726" w:rsidP="00536219">
            <w:pPr>
              <w:jc w:val="center"/>
              <w:rPr>
                <w:rFonts w:eastAsia="Calibri"/>
                <w:b/>
                <w:sz w:val="20"/>
                <w:szCs w:val="20"/>
                <w:lang w:eastAsia="en-US"/>
              </w:rPr>
            </w:pPr>
          </w:p>
        </w:tc>
        <w:tc>
          <w:tcPr>
            <w:tcW w:w="1701" w:type="dxa"/>
            <w:vMerge/>
          </w:tcPr>
          <w:p w14:paraId="6CD79060" w14:textId="77777777" w:rsidR="00912726" w:rsidRPr="00912726" w:rsidRDefault="00912726" w:rsidP="00536219">
            <w:pPr>
              <w:jc w:val="center"/>
              <w:rPr>
                <w:rFonts w:eastAsia="Calibri"/>
                <w:b/>
                <w:sz w:val="20"/>
                <w:szCs w:val="20"/>
                <w:lang w:eastAsia="en-US"/>
              </w:rPr>
            </w:pPr>
          </w:p>
        </w:tc>
        <w:tc>
          <w:tcPr>
            <w:tcW w:w="1559" w:type="dxa"/>
            <w:vMerge/>
          </w:tcPr>
          <w:p w14:paraId="24CAB541" w14:textId="77777777" w:rsidR="00912726" w:rsidRPr="00912726" w:rsidRDefault="00912726" w:rsidP="00536219">
            <w:pPr>
              <w:jc w:val="center"/>
              <w:rPr>
                <w:rFonts w:eastAsia="Calibri"/>
                <w:b/>
                <w:sz w:val="20"/>
                <w:szCs w:val="20"/>
                <w:lang w:eastAsia="en-US"/>
              </w:rPr>
            </w:pPr>
          </w:p>
        </w:tc>
        <w:tc>
          <w:tcPr>
            <w:tcW w:w="1276" w:type="dxa"/>
            <w:vMerge w:val="restart"/>
          </w:tcPr>
          <w:p w14:paraId="0F983431"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GÜNÜ</w:t>
            </w:r>
          </w:p>
        </w:tc>
        <w:tc>
          <w:tcPr>
            <w:tcW w:w="1134" w:type="dxa"/>
            <w:vMerge w:val="restart"/>
          </w:tcPr>
          <w:p w14:paraId="5D16EA68"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SAATİ</w:t>
            </w:r>
          </w:p>
        </w:tc>
      </w:tr>
      <w:tr w:rsidR="00912726" w:rsidRPr="00912726" w14:paraId="58EA914D" w14:textId="77777777" w:rsidTr="009743E1">
        <w:trPr>
          <w:trHeight w:val="320"/>
        </w:trPr>
        <w:tc>
          <w:tcPr>
            <w:tcW w:w="1389" w:type="dxa"/>
            <w:vMerge/>
            <w:shd w:val="clear" w:color="auto" w:fill="auto"/>
          </w:tcPr>
          <w:p w14:paraId="4495F3BA" w14:textId="77777777" w:rsidR="00912726" w:rsidRPr="00912726" w:rsidRDefault="00912726" w:rsidP="00536219">
            <w:pPr>
              <w:jc w:val="center"/>
              <w:rPr>
                <w:rFonts w:eastAsia="Calibri"/>
                <w:b/>
                <w:sz w:val="22"/>
                <w:szCs w:val="22"/>
                <w:lang w:eastAsia="en-US"/>
              </w:rPr>
            </w:pPr>
          </w:p>
        </w:tc>
        <w:tc>
          <w:tcPr>
            <w:tcW w:w="2126" w:type="dxa"/>
            <w:shd w:val="clear" w:color="auto" w:fill="auto"/>
          </w:tcPr>
          <w:p w14:paraId="47B402CF" w14:textId="77777777" w:rsidR="00912726" w:rsidRPr="00912726" w:rsidRDefault="00912726" w:rsidP="00536219">
            <w:pPr>
              <w:jc w:val="center"/>
              <w:rPr>
                <w:rFonts w:eastAsia="Calibri"/>
                <w:b/>
                <w:sz w:val="20"/>
                <w:szCs w:val="20"/>
                <w:lang w:eastAsia="en-US"/>
              </w:rPr>
            </w:pPr>
            <w:r w:rsidRPr="00912726">
              <w:rPr>
                <w:rFonts w:eastAsia="Calibri"/>
                <w:b/>
                <w:sz w:val="20"/>
                <w:szCs w:val="20"/>
                <w:lang w:eastAsia="en-US"/>
              </w:rPr>
              <w:t>MAHALLESİ</w:t>
            </w:r>
          </w:p>
        </w:tc>
        <w:tc>
          <w:tcPr>
            <w:tcW w:w="1134" w:type="dxa"/>
            <w:vMerge/>
            <w:shd w:val="clear" w:color="auto" w:fill="auto"/>
          </w:tcPr>
          <w:p w14:paraId="5FDC89AD" w14:textId="77777777" w:rsidR="00912726" w:rsidRPr="00912726" w:rsidRDefault="00912726" w:rsidP="00536219">
            <w:pPr>
              <w:jc w:val="center"/>
              <w:rPr>
                <w:rFonts w:eastAsia="Calibri"/>
                <w:b/>
                <w:sz w:val="22"/>
                <w:szCs w:val="22"/>
                <w:lang w:eastAsia="en-US"/>
              </w:rPr>
            </w:pPr>
          </w:p>
        </w:tc>
        <w:tc>
          <w:tcPr>
            <w:tcW w:w="1588" w:type="dxa"/>
            <w:vMerge/>
            <w:shd w:val="clear" w:color="auto" w:fill="auto"/>
          </w:tcPr>
          <w:p w14:paraId="2A9AA0D1" w14:textId="77777777" w:rsidR="00912726" w:rsidRPr="00912726" w:rsidRDefault="00912726" w:rsidP="00536219">
            <w:pPr>
              <w:jc w:val="center"/>
              <w:rPr>
                <w:rFonts w:eastAsia="Calibri"/>
                <w:b/>
                <w:sz w:val="22"/>
                <w:szCs w:val="22"/>
                <w:lang w:eastAsia="en-US"/>
              </w:rPr>
            </w:pPr>
          </w:p>
        </w:tc>
        <w:tc>
          <w:tcPr>
            <w:tcW w:w="964" w:type="dxa"/>
            <w:vMerge/>
          </w:tcPr>
          <w:p w14:paraId="09184C25" w14:textId="77777777" w:rsidR="00912726" w:rsidRPr="00912726" w:rsidRDefault="00912726" w:rsidP="00536219">
            <w:pPr>
              <w:jc w:val="center"/>
              <w:rPr>
                <w:rFonts w:eastAsia="Calibri"/>
                <w:b/>
                <w:sz w:val="22"/>
                <w:szCs w:val="22"/>
                <w:lang w:eastAsia="en-US"/>
              </w:rPr>
            </w:pPr>
          </w:p>
        </w:tc>
        <w:tc>
          <w:tcPr>
            <w:tcW w:w="1275" w:type="dxa"/>
            <w:vMerge/>
          </w:tcPr>
          <w:p w14:paraId="042DCF3B" w14:textId="77777777" w:rsidR="00912726" w:rsidRPr="00912726" w:rsidRDefault="00912726" w:rsidP="00536219">
            <w:pPr>
              <w:jc w:val="center"/>
              <w:rPr>
                <w:rFonts w:eastAsia="Calibri"/>
                <w:b/>
                <w:sz w:val="22"/>
                <w:szCs w:val="22"/>
                <w:lang w:eastAsia="en-US"/>
              </w:rPr>
            </w:pPr>
          </w:p>
        </w:tc>
        <w:tc>
          <w:tcPr>
            <w:tcW w:w="1276" w:type="dxa"/>
            <w:vMerge/>
          </w:tcPr>
          <w:p w14:paraId="6C73CF37" w14:textId="77777777" w:rsidR="00912726" w:rsidRPr="00912726" w:rsidRDefault="00912726" w:rsidP="00536219">
            <w:pPr>
              <w:jc w:val="center"/>
              <w:rPr>
                <w:rFonts w:eastAsia="Calibri"/>
                <w:b/>
                <w:sz w:val="22"/>
                <w:szCs w:val="22"/>
                <w:lang w:eastAsia="en-US"/>
              </w:rPr>
            </w:pPr>
          </w:p>
        </w:tc>
        <w:tc>
          <w:tcPr>
            <w:tcW w:w="1701" w:type="dxa"/>
            <w:vMerge/>
          </w:tcPr>
          <w:p w14:paraId="31E16771" w14:textId="77777777" w:rsidR="00912726" w:rsidRPr="00912726" w:rsidRDefault="00912726" w:rsidP="00536219">
            <w:pPr>
              <w:jc w:val="center"/>
              <w:rPr>
                <w:rFonts w:eastAsia="Calibri"/>
                <w:b/>
                <w:sz w:val="22"/>
                <w:szCs w:val="22"/>
                <w:lang w:eastAsia="en-US"/>
              </w:rPr>
            </w:pPr>
          </w:p>
        </w:tc>
        <w:tc>
          <w:tcPr>
            <w:tcW w:w="1559" w:type="dxa"/>
            <w:vMerge/>
          </w:tcPr>
          <w:p w14:paraId="2F4A3AA2" w14:textId="77777777" w:rsidR="00912726" w:rsidRPr="00912726" w:rsidRDefault="00912726" w:rsidP="00536219">
            <w:pPr>
              <w:jc w:val="center"/>
              <w:rPr>
                <w:rFonts w:eastAsia="Calibri"/>
                <w:b/>
                <w:sz w:val="22"/>
                <w:szCs w:val="22"/>
                <w:lang w:eastAsia="en-US"/>
              </w:rPr>
            </w:pPr>
          </w:p>
        </w:tc>
        <w:tc>
          <w:tcPr>
            <w:tcW w:w="1276" w:type="dxa"/>
            <w:vMerge/>
          </w:tcPr>
          <w:p w14:paraId="4DB837DC" w14:textId="77777777" w:rsidR="00912726" w:rsidRPr="00912726" w:rsidRDefault="00912726" w:rsidP="00536219">
            <w:pPr>
              <w:jc w:val="center"/>
              <w:rPr>
                <w:rFonts w:eastAsia="Calibri"/>
                <w:b/>
                <w:sz w:val="22"/>
                <w:szCs w:val="22"/>
                <w:lang w:eastAsia="en-US"/>
              </w:rPr>
            </w:pPr>
          </w:p>
        </w:tc>
        <w:tc>
          <w:tcPr>
            <w:tcW w:w="1134" w:type="dxa"/>
            <w:vMerge/>
          </w:tcPr>
          <w:p w14:paraId="2F43D90D" w14:textId="77777777" w:rsidR="00912726" w:rsidRPr="00912726" w:rsidRDefault="00912726" w:rsidP="00536219">
            <w:pPr>
              <w:jc w:val="center"/>
              <w:rPr>
                <w:rFonts w:eastAsia="Calibri"/>
                <w:b/>
                <w:sz w:val="22"/>
                <w:szCs w:val="22"/>
                <w:lang w:eastAsia="en-US"/>
              </w:rPr>
            </w:pPr>
          </w:p>
        </w:tc>
      </w:tr>
      <w:tr w:rsidR="00912726" w:rsidRPr="00912726" w14:paraId="502DA409" w14:textId="77777777" w:rsidTr="009743E1">
        <w:trPr>
          <w:trHeight w:val="1171"/>
        </w:trPr>
        <w:tc>
          <w:tcPr>
            <w:tcW w:w="1389" w:type="dxa"/>
            <w:shd w:val="clear" w:color="auto" w:fill="auto"/>
          </w:tcPr>
          <w:p w14:paraId="39D51F0C" w14:textId="77777777" w:rsidR="00912726" w:rsidRPr="00912726" w:rsidRDefault="00912726" w:rsidP="00536219">
            <w:pPr>
              <w:jc w:val="center"/>
              <w:rPr>
                <w:rFonts w:eastAsia="Calibri"/>
                <w:b/>
                <w:sz w:val="22"/>
                <w:szCs w:val="22"/>
                <w:lang w:eastAsia="en-US"/>
              </w:rPr>
            </w:pPr>
            <w:r w:rsidRPr="00912726">
              <w:rPr>
                <w:rFonts w:eastAsia="Calibri"/>
                <w:b/>
                <w:sz w:val="22"/>
                <w:szCs w:val="22"/>
                <w:lang w:eastAsia="en-US"/>
              </w:rPr>
              <w:t>1193922430</w:t>
            </w:r>
          </w:p>
        </w:tc>
        <w:tc>
          <w:tcPr>
            <w:tcW w:w="2126" w:type="dxa"/>
            <w:shd w:val="clear" w:color="auto" w:fill="auto"/>
          </w:tcPr>
          <w:p w14:paraId="4014F4AA" w14:textId="77777777" w:rsidR="00912726" w:rsidRPr="00912726" w:rsidRDefault="00912726" w:rsidP="00536219">
            <w:pPr>
              <w:jc w:val="center"/>
              <w:rPr>
                <w:rFonts w:eastAsia="Calibri"/>
                <w:b/>
                <w:sz w:val="22"/>
                <w:szCs w:val="22"/>
                <w:lang w:eastAsia="en-US"/>
              </w:rPr>
            </w:pPr>
            <w:r w:rsidRPr="00912726">
              <w:rPr>
                <w:rFonts w:eastAsia="Calibri"/>
                <w:b/>
                <w:sz w:val="22"/>
                <w:szCs w:val="22"/>
                <w:lang w:eastAsia="en-US"/>
              </w:rPr>
              <w:t>Osmaniye</w:t>
            </w:r>
          </w:p>
          <w:p w14:paraId="7EFAE769" w14:textId="77777777" w:rsidR="00912726" w:rsidRPr="00912726" w:rsidRDefault="00912726" w:rsidP="00536219">
            <w:pPr>
              <w:jc w:val="center"/>
              <w:rPr>
                <w:rFonts w:eastAsia="Calibri"/>
                <w:b/>
                <w:sz w:val="22"/>
                <w:szCs w:val="22"/>
                <w:lang w:eastAsia="en-US"/>
              </w:rPr>
            </w:pPr>
            <w:r w:rsidRPr="00912726">
              <w:rPr>
                <w:rFonts w:eastAsia="Calibri"/>
                <w:b/>
                <w:sz w:val="22"/>
                <w:szCs w:val="22"/>
                <w:lang w:eastAsia="en-US"/>
              </w:rPr>
              <w:t>Merkez</w:t>
            </w:r>
          </w:p>
          <w:p w14:paraId="7A8C962F" w14:textId="77777777" w:rsidR="00912726" w:rsidRPr="00912726" w:rsidRDefault="00912726" w:rsidP="00536219">
            <w:pPr>
              <w:jc w:val="center"/>
              <w:rPr>
                <w:rFonts w:eastAsia="Calibri"/>
                <w:b/>
                <w:sz w:val="22"/>
                <w:szCs w:val="22"/>
                <w:lang w:eastAsia="en-US"/>
              </w:rPr>
            </w:pPr>
            <w:proofErr w:type="spellStart"/>
            <w:r w:rsidRPr="00912726">
              <w:rPr>
                <w:rFonts w:eastAsia="Calibri"/>
                <w:b/>
                <w:sz w:val="22"/>
                <w:szCs w:val="22"/>
                <w:lang w:eastAsia="en-US"/>
              </w:rPr>
              <w:t>Raufbey</w:t>
            </w:r>
            <w:proofErr w:type="spellEnd"/>
            <w:r w:rsidRPr="00912726">
              <w:rPr>
                <w:rFonts w:eastAsia="Calibri"/>
                <w:b/>
                <w:sz w:val="22"/>
                <w:szCs w:val="22"/>
                <w:lang w:eastAsia="en-US"/>
              </w:rPr>
              <w:t>/Adnan Menderes</w:t>
            </w:r>
          </w:p>
          <w:p w14:paraId="7E6A90C4" w14:textId="77777777" w:rsidR="00912726" w:rsidRPr="00912726" w:rsidRDefault="00912726" w:rsidP="00536219">
            <w:pPr>
              <w:jc w:val="center"/>
              <w:rPr>
                <w:rFonts w:eastAsia="Calibri"/>
                <w:b/>
                <w:sz w:val="22"/>
                <w:szCs w:val="22"/>
                <w:lang w:eastAsia="en-US"/>
              </w:rPr>
            </w:pPr>
            <w:r w:rsidRPr="00912726">
              <w:rPr>
                <w:rFonts w:eastAsia="Calibri"/>
                <w:b/>
                <w:sz w:val="22"/>
                <w:szCs w:val="22"/>
                <w:lang w:eastAsia="en-US"/>
              </w:rPr>
              <w:t>Muhsin Yazıcıoğlu Cad.</w:t>
            </w:r>
          </w:p>
        </w:tc>
        <w:tc>
          <w:tcPr>
            <w:tcW w:w="1134" w:type="dxa"/>
            <w:shd w:val="clear" w:color="auto" w:fill="auto"/>
          </w:tcPr>
          <w:p w14:paraId="5940AD9B" w14:textId="77777777" w:rsidR="00912726" w:rsidRPr="00912726" w:rsidRDefault="00912726" w:rsidP="00536219">
            <w:pPr>
              <w:jc w:val="center"/>
              <w:rPr>
                <w:rFonts w:eastAsia="Calibri"/>
                <w:b/>
                <w:sz w:val="22"/>
                <w:szCs w:val="22"/>
                <w:lang w:eastAsia="en-US"/>
              </w:rPr>
            </w:pPr>
            <w:r w:rsidRPr="00912726">
              <w:rPr>
                <w:rFonts w:eastAsia="Calibri"/>
                <w:b/>
                <w:sz w:val="22"/>
                <w:szCs w:val="22"/>
                <w:lang w:eastAsia="en-US"/>
              </w:rPr>
              <w:t>2085</w:t>
            </w:r>
          </w:p>
          <w:p w14:paraId="2150FDA2" w14:textId="77777777" w:rsidR="00912726" w:rsidRPr="00912726" w:rsidRDefault="00912726" w:rsidP="00536219">
            <w:pPr>
              <w:jc w:val="center"/>
              <w:rPr>
                <w:rFonts w:eastAsia="Calibri"/>
                <w:b/>
                <w:sz w:val="22"/>
                <w:szCs w:val="22"/>
                <w:lang w:eastAsia="en-US"/>
              </w:rPr>
            </w:pPr>
            <w:r w:rsidRPr="00912726">
              <w:rPr>
                <w:rFonts w:eastAsia="Calibri"/>
                <w:b/>
                <w:sz w:val="22"/>
                <w:szCs w:val="22"/>
                <w:lang w:eastAsia="en-US"/>
              </w:rPr>
              <w:t>4</w:t>
            </w:r>
          </w:p>
        </w:tc>
        <w:tc>
          <w:tcPr>
            <w:tcW w:w="1588" w:type="dxa"/>
            <w:shd w:val="clear" w:color="auto" w:fill="auto"/>
          </w:tcPr>
          <w:p w14:paraId="3B1F0007" w14:textId="77777777" w:rsidR="00912726" w:rsidRPr="00912726" w:rsidRDefault="00912726" w:rsidP="00536219">
            <w:pPr>
              <w:jc w:val="center"/>
              <w:rPr>
                <w:rFonts w:eastAsia="Calibri"/>
                <w:b/>
                <w:sz w:val="22"/>
                <w:szCs w:val="22"/>
                <w:lang w:eastAsia="en-US"/>
              </w:rPr>
            </w:pPr>
            <w:r w:rsidRPr="00912726">
              <w:rPr>
                <w:rFonts w:eastAsia="Calibri"/>
                <w:b/>
                <w:sz w:val="22"/>
                <w:szCs w:val="22"/>
                <w:lang w:eastAsia="en-US"/>
              </w:rPr>
              <w:t>10.572,63</w:t>
            </w:r>
          </w:p>
        </w:tc>
        <w:tc>
          <w:tcPr>
            <w:tcW w:w="964" w:type="dxa"/>
          </w:tcPr>
          <w:p w14:paraId="2F50CDA8" w14:textId="77777777" w:rsidR="00912726" w:rsidRPr="00912726" w:rsidRDefault="00912726" w:rsidP="00536219">
            <w:pPr>
              <w:jc w:val="center"/>
              <w:rPr>
                <w:rFonts w:eastAsia="Calibri"/>
                <w:b/>
                <w:sz w:val="22"/>
                <w:szCs w:val="22"/>
                <w:lang w:eastAsia="en-US"/>
              </w:rPr>
            </w:pPr>
            <w:r w:rsidRPr="00912726">
              <w:rPr>
                <w:rFonts w:eastAsia="Calibri"/>
                <w:b/>
                <w:sz w:val="22"/>
                <w:szCs w:val="22"/>
                <w:lang w:eastAsia="en-US"/>
              </w:rPr>
              <w:t>Tam</w:t>
            </w:r>
          </w:p>
        </w:tc>
        <w:tc>
          <w:tcPr>
            <w:tcW w:w="1275" w:type="dxa"/>
          </w:tcPr>
          <w:p w14:paraId="49EE79F3" w14:textId="77777777" w:rsidR="00912726" w:rsidRPr="00912726" w:rsidRDefault="00912726" w:rsidP="00536219">
            <w:pPr>
              <w:jc w:val="center"/>
              <w:rPr>
                <w:rFonts w:eastAsia="Calibri"/>
                <w:b/>
                <w:sz w:val="22"/>
                <w:szCs w:val="22"/>
                <w:lang w:eastAsia="en-US"/>
              </w:rPr>
            </w:pPr>
            <w:r w:rsidRPr="00912726">
              <w:rPr>
                <w:rFonts w:eastAsia="Calibri"/>
                <w:b/>
                <w:sz w:val="22"/>
                <w:szCs w:val="22"/>
                <w:lang w:eastAsia="en-US"/>
              </w:rPr>
              <w:t>Arsa</w:t>
            </w:r>
          </w:p>
        </w:tc>
        <w:tc>
          <w:tcPr>
            <w:tcW w:w="1276" w:type="dxa"/>
          </w:tcPr>
          <w:p w14:paraId="5CC949E6" w14:textId="77777777" w:rsidR="00912726" w:rsidRPr="00912726" w:rsidRDefault="00912726" w:rsidP="00536219">
            <w:pPr>
              <w:autoSpaceDE w:val="0"/>
              <w:autoSpaceDN w:val="0"/>
              <w:adjustRightInd w:val="0"/>
              <w:jc w:val="both"/>
              <w:rPr>
                <w:b/>
                <w:color w:val="000000"/>
                <w:sz w:val="22"/>
                <w:szCs w:val="22"/>
              </w:rPr>
            </w:pPr>
            <w:r w:rsidRPr="00912726">
              <w:rPr>
                <w:b/>
                <w:color w:val="000000"/>
                <w:sz w:val="22"/>
                <w:szCs w:val="22"/>
              </w:rPr>
              <w:t xml:space="preserve">Ticaret + </w:t>
            </w:r>
          </w:p>
          <w:p w14:paraId="3124E89A" w14:textId="77777777" w:rsidR="00912726" w:rsidRPr="00912726" w:rsidRDefault="00912726" w:rsidP="00536219">
            <w:pPr>
              <w:autoSpaceDE w:val="0"/>
              <w:autoSpaceDN w:val="0"/>
              <w:adjustRightInd w:val="0"/>
              <w:jc w:val="both"/>
              <w:rPr>
                <w:rFonts w:eastAsia="Calibri"/>
                <w:b/>
                <w:color w:val="FF0000"/>
                <w:sz w:val="22"/>
                <w:szCs w:val="22"/>
                <w:lang w:eastAsia="en-US"/>
              </w:rPr>
            </w:pPr>
            <w:r w:rsidRPr="00912726">
              <w:rPr>
                <w:b/>
                <w:color w:val="000000"/>
                <w:sz w:val="22"/>
                <w:szCs w:val="22"/>
              </w:rPr>
              <w:t xml:space="preserve">Konut Alanı 10 Kat </w:t>
            </w:r>
          </w:p>
        </w:tc>
        <w:tc>
          <w:tcPr>
            <w:tcW w:w="1701" w:type="dxa"/>
          </w:tcPr>
          <w:p w14:paraId="6FFC32EF" w14:textId="77777777" w:rsidR="00912726" w:rsidRPr="00912726" w:rsidRDefault="00912726" w:rsidP="00536219">
            <w:pPr>
              <w:autoSpaceDE w:val="0"/>
              <w:autoSpaceDN w:val="0"/>
              <w:adjustRightInd w:val="0"/>
              <w:jc w:val="both"/>
              <w:rPr>
                <w:b/>
                <w:color w:val="000000"/>
                <w:sz w:val="22"/>
                <w:szCs w:val="22"/>
              </w:rPr>
            </w:pPr>
          </w:p>
          <w:p w14:paraId="393AF69B" w14:textId="77777777" w:rsidR="00912726" w:rsidRPr="00912726" w:rsidRDefault="00912726" w:rsidP="00536219">
            <w:pPr>
              <w:autoSpaceDE w:val="0"/>
              <w:autoSpaceDN w:val="0"/>
              <w:adjustRightInd w:val="0"/>
              <w:jc w:val="both"/>
              <w:rPr>
                <w:b/>
                <w:color w:val="000000"/>
                <w:sz w:val="22"/>
                <w:szCs w:val="22"/>
              </w:rPr>
            </w:pPr>
            <w:r w:rsidRPr="00912726">
              <w:rPr>
                <w:b/>
                <w:color w:val="000000"/>
                <w:sz w:val="22"/>
                <w:szCs w:val="22"/>
              </w:rPr>
              <w:t>50.337.000,00</w:t>
            </w:r>
          </w:p>
        </w:tc>
        <w:tc>
          <w:tcPr>
            <w:tcW w:w="1559" w:type="dxa"/>
          </w:tcPr>
          <w:p w14:paraId="261374D9" w14:textId="77777777" w:rsidR="00912726" w:rsidRPr="00912726" w:rsidRDefault="00912726" w:rsidP="00536219">
            <w:pPr>
              <w:autoSpaceDE w:val="0"/>
              <w:autoSpaceDN w:val="0"/>
              <w:adjustRightInd w:val="0"/>
              <w:jc w:val="both"/>
              <w:rPr>
                <w:b/>
                <w:color w:val="000000"/>
                <w:sz w:val="22"/>
                <w:szCs w:val="22"/>
              </w:rPr>
            </w:pPr>
          </w:p>
          <w:p w14:paraId="537668D2" w14:textId="77777777" w:rsidR="00912726" w:rsidRPr="00912726" w:rsidRDefault="00912726" w:rsidP="00536219">
            <w:pPr>
              <w:autoSpaceDE w:val="0"/>
              <w:autoSpaceDN w:val="0"/>
              <w:adjustRightInd w:val="0"/>
              <w:jc w:val="both"/>
              <w:rPr>
                <w:b/>
                <w:color w:val="000000"/>
                <w:sz w:val="22"/>
                <w:szCs w:val="22"/>
              </w:rPr>
            </w:pPr>
            <w:r w:rsidRPr="00912726">
              <w:rPr>
                <w:b/>
                <w:color w:val="000000"/>
                <w:sz w:val="22"/>
                <w:szCs w:val="22"/>
              </w:rPr>
              <w:t>1.510.110,00</w:t>
            </w:r>
          </w:p>
        </w:tc>
        <w:tc>
          <w:tcPr>
            <w:tcW w:w="1276" w:type="dxa"/>
          </w:tcPr>
          <w:p w14:paraId="00A01EC7" w14:textId="77777777" w:rsidR="00912726" w:rsidRPr="00912726" w:rsidRDefault="00912726" w:rsidP="00536219">
            <w:pPr>
              <w:autoSpaceDE w:val="0"/>
              <w:autoSpaceDN w:val="0"/>
              <w:adjustRightInd w:val="0"/>
              <w:jc w:val="both"/>
              <w:rPr>
                <w:b/>
                <w:color w:val="000000"/>
                <w:sz w:val="22"/>
                <w:szCs w:val="22"/>
              </w:rPr>
            </w:pPr>
          </w:p>
          <w:p w14:paraId="19C96DA5" w14:textId="77777777" w:rsidR="00912726" w:rsidRPr="00912726" w:rsidRDefault="00912726" w:rsidP="00536219">
            <w:pPr>
              <w:autoSpaceDE w:val="0"/>
              <w:autoSpaceDN w:val="0"/>
              <w:adjustRightInd w:val="0"/>
              <w:jc w:val="both"/>
              <w:rPr>
                <w:b/>
                <w:color w:val="000000"/>
                <w:sz w:val="22"/>
                <w:szCs w:val="22"/>
              </w:rPr>
            </w:pPr>
            <w:r w:rsidRPr="00912726">
              <w:rPr>
                <w:b/>
                <w:color w:val="000000"/>
                <w:sz w:val="22"/>
                <w:szCs w:val="22"/>
              </w:rPr>
              <w:t>31.08.2022</w:t>
            </w:r>
          </w:p>
          <w:p w14:paraId="5F801301" w14:textId="77777777" w:rsidR="00912726" w:rsidRPr="00912726" w:rsidRDefault="00912726" w:rsidP="00536219">
            <w:pPr>
              <w:autoSpaceDE w:val="0"/>
              <w:autoSpaceDN w:val="0"/>
              <w:adjustRightInd w:val="0"/>
              <w:jc w:val="both"/>
              <w:rPr>
                <w:b/>
                <w:color w:val="000000"/>
                <w:sz w:val="22"/>
                <w:szCs w:val="22"/>
              </w:rPr>
            </w:pPr>
            <w:r w:rsidRPr="00912726">
              <w:rPr>
                <w:b/>
                <w:color w:val="000000"/>
                <w:sz w:val="22"/>
                <w:szCs w:val="22"/>
              </w:rPr>
              <w:t>Çarşamba</w:t>
            </w:r>
          </w:p>
        </w:tc>
        <w:tc>
          <w:tcPr>
            <w:tcW w:w="1134" w:type="dxa"/>
          </w:tcPr>
          <w:p w14:paraId="4F65FE51" w14:textId="77777777" w:rsidR="00912726" w:rsidRPr="00912726" w:rsidRDefault="00912726" w:rsidP="00536219">
            <w:pPr>
              <w:autoSpaceDE w:val="0"/>
              <w:autoSpaceDN w:val="0"/>
              <w:adjustRightInd w:val="0"/>
              <w:jc w:val="both"/>
              <w:rPr>
                <w:b/>
                <w:color w:val="000000"/>
                <w:sz w:val="22"/>
                <w:szCs w:val="22"/>
              </w:rPr>
            </w:pPr>
          </w:p>
          <w:p w14:paraId="16DA4FA1" w14:textId="77777777" w:rsidR="00912726" w:rsidRPr="00912726" w:rsidRDefault="00912726" w:rsidP="00536219">
            <w:pPr>
              <w:autoSpaceDE w:val="0"/>
              <w:autoSpaceDN w:val="0"/>
              <w:adjustRightInd w:val="0"/>
              <w:jc w:val="both"/>
              <w:rPr>
                <w:b/>
                <w:color w:val="000000"/>
                <w:sz w:val="22"/>
                <w:szCs w:val="22"/>
              </w:rPr>
            </w:pPr>
            <w:r w:rsidRPr="00912726">
              <w:rPr>
                <w:b/>
                <w:color w:val="000000"/>
                <w:sz w:val="22"/>
                <w:szCs w:val="22"/>
              </w:rPr>
              <w:t>15:00</w:t>
            </w:r>
          </w:p>
        </w:tc>
      </w:tr>
    </w:tbl>
    <w:p w14:paraId="01FAD13A" w14:textId="77777777" w:rsidR="00912726" w:rsidRPr="00912726" w:rsidRDefault="00912726" w:rsidP="00912726">
      <w:pPr>
        <w:rPr>
          <w:sz w:val="22"/>
          <w:szCs w:val="22"/>
        </w:rPr>
      </w:pPr>
    </w:p>
    <w:p w14:paraId="0E395D63" w14:textId="77777777" w:rsidR="00912726" w:rsidRPr="00912726" w:rsidRDefault="00912726" w:rsidP="00912726">
      <w:pPr>
        <w:tabs>
          <w:tab w:val="left" w:pos="13008"/>
        </w:tabs>
        <w:rPr>
          <w:sz w:val="22"/>
          <w:szCs w:val="22"/>
        </w:rPr>
      </w:pPr>
      <w:r w:rsidRPr="00912726">
        <w:rPr>
          <w:sz w:val="22"/>
          <w:szCs w:val="22"/>
        </w:rPr>
        <w:tab/>
        <w:t xml:space="preserve">                  İLAN OLUNUR</w:t>
      </w:r>
    </w:p>
    <w:p w14:paraId="49C0651A" w14:textId="77777777" w:rsidR="00B04DF8" w:rsidRPr="00912726" w:rsidRDefault="00B04DF8" w:rsidP="00912726">
      <w:pPr>
        <w:jc w:val="center"/>
        <w:rPr>
          <w:sz w:val="22"/>
          <w:szCs w:val="22"/>
        </w:rPr>
      </w:pPr>
    </w:p>
    <w:sectPr w:rsidR="00B04DF8" w:rsidRPr="00912726" w:rsidSect="00CB72A8">
      <w:pgSz w:w="16838" w:h="11906" w:orient="landscape"/>
      <w:pgMar w:top="567" w:right="567"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921"/>
    <w:multiLevelType w:val="hybridMultilevel"/>
    <w:tmpl w:val="D69A934A"/>
    <w:lvl w:ilvl="0" w:tplc="0EDC4F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294DC9"/>
    <w:multiLevelType w:val="hybridMultilevel"/>
    <w:tmpl w:val="11A8CEA6"/>
    <w:lvl w:ilvl="0" w:tplc="474CB39E">
      <w:start w:val="2"/>
      <w:numFmt w:val="decimal"/>
      <w:lvlText w:val="%1."/>
      <w:lvlJc w:val="left"/>
      <w:pPr>
        <w:ind w:left="360" w:hanging="360"/>
      </w:pPr>
      <w:rPr>
        <w:rFonts w:hint="default"/>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C282933"/>
    <w:multiLevelType w:val="hybridMultilevel"/>
    <w:tmpl w:val="9252C272"/>
    <w:lvl w:ilvl="0" w:tplc="A3D6C71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673336804">
    <w:abstractNumId w:val="2"/>
  </w:num>
  <w:num w:numId="2" w16cid:durableId="2017537728">
    <w:abstractNumId w:val="1"/>
  </w:num>
  <w:num w:numId="3" w16cid:durableId="211886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F8"/>
    <w:rsid w:val="00020704"/>
    <w:rsid w:val="000D7C64"/>
    <w:rsid w:val="00414451"/>
    <w:rsid w:val="00685348"/>
    <w:rsid w:val="0075241F"/>
    <w:rsid w:val="00841EC0"/>
    <w:rsid w:val="00912726"/>
    <w:rsid w:val="009743E1"/>
    <w:rsid w:val="0099714D"/>
    <w:rsid w:val="00B04DF8"/>
    <w:rsid w:val="00CB72A8"/>
    <w:rsid w:val="00E259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2BAB"/>
  <w15:chartTrackingRefBased/>
  <w15:docId w15:val="{772F7E0A-A60E-47F3-8279-4AEF8AED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F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Kaya</dc:creator>
  <cp:keywords/>
  <dc:description/>
  <cp:lastModifiedBy>Merve</cp:lastModifiedBy>
  <cp:revision>2</cp:revision>
  <dcterms:created xsi:type="dcterms:W3CDTF">2022-08-12T12:17:00Z</dcterms:created>
  <dcterms:modified xsi:type="dcterms:W3CDTF">2022-08-12T12:17:00Z</dcterms:modified>
</cp:coreProperties>
</file>